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6B6B"/>
          <w:sz w:val="18"/>
          <w:szCs w:val="18"/>
        </w:rPr>
        <w:t xml:space="preserve">TRI-HEALTH WELLNESS CENTRE  ·  VAUGHAN, ONTARIO</w:t>
      </w:r>
    </w:p>
    <w:p>
      <w:pPr>
        <w:pBdr>
          <w:bottom w:val="single" w:color="B08D3A" w:sz="18" w:space="1"/>
        </w:pBdr>
        <w:spacing w:after="60"/>
      </w:pPr>
      <w:r>
        <w:rPr>
          <w:rFonts w:ascii="Calibri" w:cs="Calibri" w:eastAsia="Calibri" w:hAnsi="Calibri"/>
          <w:sz w:val="8"/>
          <w:szCs w:val="8"/>
        </w:rPr>
        <w:t xml:space="preserve"> </w:t>
      </w:r>
    </w:p>
    <w:p>
      <w:pPr>
        <w:spacing w:after="80" w:before="240"/>
      </w:pPr>
      <w:r>
        <w:rPr>
          <w:rFonts w:ascii="Calibri" w:cs="Calibri" w:eastAsia="Calibri" w:hAnsi="Calibri"/>
          <w:b/>
          <w:bCs/>
          <w:color w:val="0F4242"/>
          <w:sz w:val="44"/>
          <w:szCs w:val="44"/>
        </w:rPr>
        <w:t xml:space="preserve">Food IgG Testing and Chronic Illness</w:t>
      </w:r>
    </w:p>
    <w:p>
      <w:pPr>
        <w:spacing w:after="160"/>
      </w:pPr>
      <w:r>
        <w:rPr>
          <w:rFonts w:ascii="Calibri" w:cs="Calibri" w:eastAsia="Calibri" w:hAnsi="Calibri"/>
          <w:i/>
          <w:iCs/>
          <w:color w:val="5A6A69"/>
          <w:sz w:val="24"/>
          <w:szCs w:val="24"/>
        </w:rPr>
        <w:t xml:space="preserve">Why delayed food-immune reactions matter in eczema, allergies, digestion, and immune dysfunction — a briefing for patients and clinicians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drawing>
                <wp:inline distT="0" distB="0" distL="0" distR="0">
                  <wp:extent cx="1600200" cy="2000250"/>
                  <wp:effectExtent t="0" r="0" b="0" l="0"/>
                  <wp:docPr id="1" name="Dr. Jason Granzotto ND" descr="Official headshot of Dr. Jason Granzotto ND" title="Dr. Jason Granzotto 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00200" cy="2000250"/>
                          </a:xfrm>
                          <a:prstGeom prst="rect">
                            <a:avLst/>
                          </a:prstGeom>
                        </pic:spPr>
                      </pic:pic>
                    </a:graphicData>
                  </a:graphic>
                </wp:inline>
              </w:drawing>
            </w:r>
          </w:p>
        </w:tc>
        <w:tc>
          <w:tcPr>
            <w:tcW w:type="dxa" w:w="7280"/>
            <w:tcBorders>
              <w:top w:val="none" w:color="FFFFFF" w:sz="0"/>
              <w:left w:val="none" w:color="FFFFFF" w:sz="0"/>
              <w:bottom w:val="none" w:color="FFFFFF" w:sz="0"/>
              <w:right w:val="none" w:color="FFFFFF" w:sz="0"/>
            </w:tcBorders>
            <w:tcMar>
              <w:top w:type="dxa" w:w="40"/>
              <w:left w:type="dxa" w:w="80"/>
              <w:bottom w:type="dxa" w:w="40"/>
              <w:right w:type="dxa" w:w="40"/>
            </w:tcMar>
            <w:vAlign w:val="center"/>
          </w:tcPr>
          <w:p>
            <w:pPr>
              <w:spacing w:after="40"/>
            </w:pPr>
            <w:r>
              <w:rPr>
                <w:rFonts w:ascii="Calibri" w:cs="Calibri" w:eastAsia="Calibri" w:hAnsi="Calibri"/>
                <w:b/>
                <w:bCs/>
                <w:color w:val="B08D3A"/>
                <w:sz w:val="16"/>
                <w:szCs w:val="16"/>
              </w:rPr>
              <w:t xml:space="preserve">AUTHOR</w:t>
            </w:r>
          </w:p>
          <w:p>
            <w:pPr>
              <w:spacing w:after="40"/>
            </w:pPr>
            <w:r>
              <w:rPr>
                <w:rFonts w:ascii="Calibri" w:cs="Calibri" w:eastAsia="Calibri" w:hAnsi="Calibri"/>
                <w:b/>
                <w:bCs/>
                <w:color w:val="0F4242"/>
                <w:sz w:val="32"/>
                <w:szCs w:val="32"/>
              </w:rPr>
              <w:t xml:space="preserve">Dr. Jason Granzotto ND</w:t>
            </w:r>
          </w:p>
          <w:p>
            <w:pPr>
              <w:spacing w:after="80"/>
            </w:pPr>
            <w:r>
              <w:rPr>
                <w:rFonts w:ascii="Calibri" w:cs="Calibri" w:eastAsia="Calibri" w:hAnsi="Calibri"/>
                <w:color w:val="1A6B6B"/>
                <w:sz w:val="20"/>
                <w:szCs w:val="20"/>
              </w:rPr>
              <w:t xml:space="preserve">Naturopathic Doctor  ·  Founder, Tri-Health Wellness Centre</w:t>
            </w:r>
          </w:p>
          <w:p>
            <w:pPr>
              <w:spacing w:after="40"/>
            </w:pPr>
            <w:r>
              <w:rPr>
                <w:rFonts w:ascii="Calibri" w:cs="Calibri" w:eastAsia="Calibri" w:hAnsi="Calibri"/>
                <w:color w:val="5A6A69"/>
                <w:sz w:val="18"/>
                <w:szCs w:val="18"/>
              </w:rPr>
              <w:t xml:space="preserve">CCNM Class of 2007  ·  Vaughan / Woodbridge, Ontario</w:t>
            </w:r>
          </w:p>
          <w:p>
            <w:pPr>
              <w:spacing w:after="0"/>
            </w:pPr>
            <w:r>
              <w:rPr>
                <w:rFonts w:ascii="Calibri" w:cs="Calibri" w:eastAsia="Calibri" w:hAnsi="Calibri"/>
                <w:i/>
                <w:iCs/>
                <w:color w:val="5A6A69"/>
                <w:sz w:val="18"/>
                <w:szCs w:val="18"/>
              </w:rPr>
              <w:t xml:space="preserve">Educational review for the public and clinicians  ·  September 2026</w:t>
            </w:r>
          </w:p>
        </w:tc>
      </w:tr>
    </w:tbl>
    <w:p>
      <w:pPr>
        <w:pBdr>
          <w:bottom w:val="single" w:color="C9D6D5" w:sz="8" w:space="1"/>
        </w:pBdr>
        <w:spacing w:after="200" w:before="160"/>
      </w:pPr>
      <w:r>
        <w:rPr>
          <w:rFonts w:ascii="Calibri" w:cs="Calibri" w:eastAsia="Calibri" w:hAnsi="Calibri"/>
          <w:sz w:val="6"/>
          <w:szCs w:val="6"/>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A6B6B" w:sz="8"/>
              <w:left w:val="single" w:color="1A6B6B" w:sz="24"/>
              <w:bottom w:val="single" w:color="1A6B6B" w:sz="8"/>
              <w:right w:val="single" w:color="1A6B6B" w:sz="8"/>
            </w:tcBorders>
            <w:shd w:fill="E6F2F1" w:val="clear"/>
            <w:tcMar>
              <w:top w:type="dxa" w:w="120"/>
              <w:left w:type="dxa" w:w="160"/>
              <w:bottom w:type="dxa" w:w="120"/>
              <w:right w:type="dxa" w:w="160"/>
            </w:tcMar>
          </w:tcPr>
          <w:p>
            <w:pPr>
              <w:spacing w:after="80"/>
            </w:pPr>
            <w:r>
              <w:rPr>
                <w:rFonts w:ascii="Calibri" w:cs="Calibri" w:eastAsia="Calibri" w:hAnsi="Calibri"/>
                <w:b/>
                <w:bCs/>
                <w:color w:val="0F4242"/>
                <w:sz w:val="22"/>
                <w:szCs w:val="22"/>
              </w:rPr>
              <w:t xml:space="preserve">The short version</w:t>
            </w:r>
          </w:p>
          <w:p>
            <w:pPr>
              <w:spacing w:after="80" w:line="260"/>
            </w:pPr>
            <w:r>
              <w:rPr>
                <w:rFonts w:ascii="Calibri" w:cs="Calibri" w:eastAsia="Calibri" w:hAnsi="Calibri"/>
                <w:color w:val="24302F"/>
                <w:sz w:val="20"/>
                <w:szCs w:val="20"/>
              </w:rPr>
              <w:t xml:space="preserve">Food can bother the body in more than one way. Immediate, potentially dangerous allergy is an IgE problem. Delayed, smouldering reactions that show up as bloating, eczema flares, sinus congestion, fatigue, or brain fog often travel a different immune path — including food-specific IgG and IgA antibodies.</w:t>
            </w:r>
          </w:p>
          <w:p>
            <w:pPr>
              <w:spacing w:after="80" w:line="260"/>
            </w:pPr>
            <w:r>
              <w:rPr>
                <w:rFonts w:ascii="Calibri" w:cs="Calibri" w:eastAsia="Calibri" w:hAnsi="Calibri"/>
                <w:color w:val="24302F"/>
                <w:sz w:val="20"/>
                <w:szCs w:val="20"/>
              </w:rPr>
              <w:t xml:space="preserve">A positive food IgG result is not the same as an anaphylactic allergy. It is also not “nothing.” In people with a leaky or inflamed gut, higher food-IgG titres track with barrier-damage markers. When those foods are removed in controlled trials — especially in IBS — symptoms improve more than on a sham diet.</w:t>
            </w:r>
          </w:p>
          <w:p>
            <w:pPr>
              <w:spacing w:after="80" w:line="260"/>
            </w:pPr>
            <w:r>
              <w:rPr>
                <w:rFonts w:ascii="Calibri" w:cs="Calibri" w:eastAsia="Calibri" w:hAnsi="Calibri"/>
                <w:color w:val="24302F"/>
                <w:sz w:val="20"/>
                <w:szCs w:val="20"/>
              </w:rPr>
              <w:t xml:space="preserve">The test is useful when it changes what you eat for a defined window, and then you reintroduce foods one by one. It is harmful when it becomes a lifelong fear list, or when it is used instead of proper IgE testing for true allergy.</w:t>
            </w:r>
          </w:p>
          <w:p>
            <w:pPr>
              <w:spacing w:after="80" w:line="260"/>
            </w:pPr>
            <w:r>
              <w:rPr>
                <w:rFonts w:ascii="Calibri" w:cs="Calibri" w:eastAsia="Calibri" w:hAnsi="Calibri"/>
                <w:color w:val="24302F"/>
                <w:sz w:val="20"/>
                <w:szCs w:val="20"/>
              </w:rPr>
              <w:t xml:space="preserve">Allergy societies still advise against IgG panels as a standalone diagnosis of allergy. That warning is important. It does not erase the 2004 Gut trial or the 2025 multicenter Gastroenterology trial in which IgG-guided diets beat sham diets for abdominal pain. Honest care holds both facts.</w:t>
            </w:r>
          </w:p>
        </w:tc>
      </w:tr>
    </w:tbl>
    <w:p>
      <w:pPr>
        <w:pStyle w:val="Heading1"/>
        <w:pBdr>
          <w:bottom w:val="single" w:color="1A6B6B" w:sz="12" w:space="4"/>
        </w:pBdr>
        <w:spacing w:after="160" w:before="360"/>
      </w:pPr>
      <w:r>
        <w:rPr>
          <w:rFonts w:ascii="Calibri" w:cs="Calibri" w:eastAsia="Calibri" w:hAnsi="Calibri"/>
          <w:b/>
          <w:bCs/>
          <w:color w:val="0F4242"/>
          <w:sz w:val="32"/>
          <w:szCs w:val="32"/>
        </w:rPr>
        <w:t xml:space="preserve">Part I — For patients and the public</w:t>
      </w:r>
    </w:p>
    <w:p>
      <w:pPr>
        <w:pStyle w:val="Heading2"/>
        <w:spacing w:after="120" w:before="280"/>
      </w:pPr>
      <w:r>
        <w:rPr>
          <w:rFonts w:ascii="Calibri" w:cs="Calibri" w:eastAsia="Calibri" w:hAnsi="Calibri"/>
          <w:b/>
          <w:bCs/>
          <w:color w:val="1A6B6B"/>
          <w:sz w:val="26"/>
          <w:szCs w:val="26"/>
        </w:rPr>
        <w:t xml:space="preserve">Three different problems that all get called “food issues”</w:t>
      </w:r>
    </w:p>
    <w:p>
      <w:pPr>
        <w:spacing w:after="160" w:before="0" w:line="276"/>
      </w:pPr>
      <w:r>
        <w:rPr>
          <w:rFonts w:ascii="Calibri" w:cs="Calibri" w:eastAsia="Calibri" w:hAnsi="Calibri"/>
          <w:b w:val="false"/>
          <w:bCs w:val="false"/>
          <w:i w:val="false"/>
          <w:iCs w:val="false"/>
          <w:color w:val="24302F"/>
          <w:sz w:val="22"/>
          <w:szCs w:val="22"/>
        </w:rPr>
        <w:t xml:space="preserve">People use “allergy,” “sensitivity,” and “intolerance” as if they were the same word. They are not. Mixing them up is how patients either ignore a real risk or throw out half their kitchen for no good reason.</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IgE food allergy. </w:t>
      </w:r>
      <w:r>
        <w:rPr>
          <w:rFonts w:ascii="Calibri" w:cs="Calibri" w:eastAsia="Calibri" w:hAnsi="Calibri"/>
          <w:b w:val="false"/>
          <w:bCs w:val="false"/>
          <w:i w:val="false"/>
          <w:iCs w:val="false"/>
          <w:color w:val="24302F"/>
          <w:sz w:val="22"/>
          <w:szCs w:val="22"/>
        </w:rPr>
        <w:t xml:space="preserve">Minutes to two hours. Hives, swelling, wheeze, vomiting, anaphylaxis. Diagnosed with history plus skin-prick or serum IgE, sometimes a food challenge. This is the emergency pathway. An IgG panel cannot rule it in or out.</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Food-specific IgG / IgA sensitivity. </w:t>
      </w:r>
      <w:r>
        <w:rPr>
          <w:rFonts w:ascii="Calibri" w:cs="Calibri" w:eastAsia="Calibri" w:hAnsi="Calibri"/>
          <w:b w:val="false"/>
          <w:bCs w:val="false"/>
          <w:i w:val="false"/>
          <w:iCs w:val="false"/>
          <w:color w:val="24302F"/>
          <w:sz w:val="22"/>
          <w:szCs w:val="22"/>
        </w:rPr>
        <w:t xml:space="preserve">Hours to two or three days. Bloating, reflux, loose stool or constipation, eczema flare, sinus congestion, headache, joint ache, fatigue. The immune system has made memory antibodies to food proteins that have crossed the gut lining more often than they should.</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Non-immune intolerance. </w:t>
      </w:r>
      <w:r>
        <w:rPr>
          <w:rFonts w:ascii="Calibri" w:cs="Calibri" w:eastAsia="Calibri" w:hAnsi="Calibri"/>
          <w:b w:val="false"/>
          <w:bCs w:val="false"/>
          <w:i w:val="false"/>
          <w:iCs w:val="false"/>
          <w:color w:val="24302F"/>
          <w:sz w:val="22"/>
          <w:szCs w:val="22"/>
        </w:rPr>
        <w:t xml:space="preserve">Lactose (missing the enzyme), FODMAP fermentation, histamine load, food chemicals. No antibody required. A low-FODMAP trial or lactase can help even when every IgG box is green.</w:t>
      </w:r>
    </w:p>
    <w:p>
      <w:pPr>
        <w:spacing w:after="160" w:before="0" w:line="276"/>
      </w:pPr>
      <w:r>
        <w:rPr>
          <w:rFonts w:ascii="Calibri" w:cs="Calibri" w:eastAsia="Calibri" w:hAnsi="Calibri"/>
          <w:b w:val="false"/>
          <w:bCs w:val="false"/>
          <w:i w:val="false"/>
          <w:iCs w:val="false"/>
          <w:color w:val="24302F"/>
          <w:sz w:val="22"/>
          <w:szCs w:val="22"/>
        </w:rPr>
        <w:t xml:space="preserve">You can have all three. Someone can be IgE-allergic to peanut, IgG-reactive to dairy and yeast, and lactose-intolerant. Treating only one lane leaves the other two open.</w:t>
      </w:r>
    </w:p>
    <w:p>
      <w:pPr>
        <w:pStyle w:val="Heading2"/>
        <w:spacing w:after="120" w:before="280"/>
      </w:pPr>
      <w:r>
        <w:rPr>
          <w:rFonts w:ascii="Calibri" w:cs="Calibri" w:eastAsia="Calibri" w:hAnsi="Calibri"/>
          <w:b/>
          <w:bCs/>
          <w:color w:val="1A6B6B"/>
          <w:sz w:val="26"/>
          <w:szCs w:val="26"/>
        </w:rPr>
        <w:t xml:space="preserve">Why food IgG shows up when the gut is struggling</w:t>
      </w:r>
    </w:p>
    <w:p>
      <w:pPr>
        <w:spacing w:after="160" w:before="0" w:line="276"/>
      </w:pPr>
      <w:r>
        <w:rPr>
          <w:rFonts w:ascii="Calibri" w:cs="Calibri" w:eastAsia="Calibri" w:hAnsi="Calibri"/>
          <w:b w:val="false"/>
          <w:bCs w:val="false"/>
          <w:i w:val="false"/>
          <w:iCs w:val="false"/>
          <w:color w:val="24302F"/>
          <w:sz w:val="22"/>
          <w:szCs w:val="22"/>
        </w:rPr>
        <w:t xml:space="preserve">In a healthy gut, most food protein is broken down before the immune system ever meets it in bulk. Tight junctions between intestinal cells keep the inside of the bowel separate from the bloodstream. When that barrier loosens — after infection, dysbiosis, gluten in susceptible people, alcohol, emulsifiers, NSAIDs, chronic stress — larger food fragments reach immune cells underneath the lining.</w:t>
      </w:r>
    </w:p>
    <w:p>
      <w:pPr>
        <w:spacing w:after="160" w:before="0" w:line="276"/>
      </w:pPr>
      <w:r>
        <w:rPr>
          <w:rFonts w:ascii="Calibri" w:cs="Calibri" w:eastAsia="Calibri" w:hAnsi="Calibri"/>
          <w:b w:val="false"/>
          <w:bCs w:val="false"/>
          <w:i w:val="false"/>
          <w:iCs w:val="false"/>
          <w:color w:val="24302F"/>
          <w:sz w:val="22"/>
          <w:szCs w:val="22"/>
        </w:rPr>
        <w:t xml:space="preserve">The immune system then files a memory report. That report is an antibody. IgA is the mucosal first responder. IgG is the long-lived systemic file. A 2022 study in Frontiers in Nutrition found that food-specific IgG titres in adults rose in step with antibodies to LPS and occludin — two laboratory fingerprints of a leaky barrier. In plain language: the more food protein is leaking across, the more IgG the system writes.</w:t>
      </w:r>
    </w:p>
    <w:p>
      <w:pPr>
        <w:spacing w:after="160" w:before="0" w:line="276"/>
      </w:pPr>
      <w:r>
        <w:rPr>
          <w:rFonts w:ascii="Calibri" w:cs="Calibri" w:eastAsia="Calibri" w:hAnsi="Calibri"/>
          <w:b w:val="false"/>
          <w:bCs w:val="false"/>
          <w:i w:val="false"/>
          <w:iCs w:val="false"/>
          <w:color w:val="24302F"/>
          <w:sz w:val="22"/>
          <w:szCs w:val="22"/>
        </w:rPr>
        <w:t xml:space="preserve">That is why a food IgG panel is often more informative as a gut-barrier conversation than as a “never eat this food again” verdict. The foods on the list are frequently the foods you eat most. That is not a coincidence. Exposure plus a porous lining produces antibody. The clinical question is whether removing the high-titre foods, while you repair the lining, calms the downstream noise — skin, sinuses, bowel, energy.</w:t>
      </w:r>
    </w:p>
    <w:p>
      <w:pPr>
        <w:pStyle w:val="Heading2"/>
        <w:spacing w:after="120" w:before="280"/>
      </w:pPr>
      <w:r>
        <w:rPr>
          <w:rFonts w:ascii="Calibri" w:cs="Calibri" w:eastAsia="Calibri" w:hAnsi="Calibri"/>
          <w:b/>
          <w:bCs/>
          <w:color w:val="1A6B6B"/>
          <w:sz w:val="26"/>
          <w:szCs w:val="26"/>
        </w:rPr>
        <w:t xml:space="preserve">What the strongest trials actually showed</w:t>
      </w:r>
    </w:p>
    <w:p>
      <w:pPr>
        <w:spacing w:after="160" w:before="0" w:line="276"/>
      </w:pPr>
      <w:r>
        <w:rPr>
          <w:rFonts w:ascii="Calibri" w:cs="Calibri" w:eastAsia="Calibri" w:hAnsi="Calibri"/>
          <w:b w:val="false"/>
          <w:bCs w:val="false"/>
          <w:i w:val="false"/>
          <w:iCs w:val="false"/>
          <w:color w:val="24302F"/>
          <w:sz w:val="22"/>
          <w:szCs w:val="22"/>
        </w:rPr>
        <w:t xml:space="preserve">The study allergists quote when they dismiss IgG testing is real: food-specific IgG, especially the IgG4 subclass, can be a sign of tolerance. People in oral immunotherapy raise IgG4 as they become less allergic. That is why an IgG4-only kit is a poor “sensitivity” test.</w:t>
      </w:r>
    </w:p>
    <w:p>
      <w:pPr>
        <w:spacing w:after="160" w:before="0" w:line="276"/>
      </w:pPr>
      <w:r>
        <w:rPr>
          <w:rFonts w:ascii="Calibri" w:cs="Calibri" w:eastAsia="Calibri" w:hAnsi="Calibri"/>
          <w:b w:val="false"/>
          <w:bCs w:val="false"/>
          <w:i w:val="false"/>
          <w:iCs w:val="false"/>
          <w:color w:val="24302F"/>
          <w:sz w:val="22"/>
          <w:szCs w:val="22"/>
        </w:rPr>
        <w:t xml:space="preserve">The studies that matter for chronic symptoms asked a different question: if you remove the foods that light up on a total-IgG ELISA, do patients feel better than if you remove a matched number of foods that did not light up?</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Atkinson et al., Gut 2004. </w:t>
      </w:r>
      <w:r>
        <w:rPr>
          <w:rFonts w:ascii="Calibri" w:cs="Calibri" w:eastAsia="Calibri" w:hAnsi="Calibri"/>
          <w:b w:val="false"/>
          <w:bCs w:val="false"/>
          <w:i w:val="false"/>
          <w:iCs w:val="false"/>
          <w:color w:val="24302F"/>
          <w:sz w:val="22"/>
          <w:szCs w:val="22"/>
        </w:rPr>
        <w:t xml:space="preserve">150 people with IBS. True IgG-elimination diet versus sham diet. After 12 weeks the true diet beat the sham diet on symptom score. Fully compliant patients improved 26% more. When they put the foods back, symptoms returned more in the true-diet group. Number needed to treat in compliant patients: about 2.5.</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Singh et al., Gastroenterology 2025. </w:t>
      </w:r>
      <w:r>
        <w:rPr>
          <w:rFonts w:ascii="Calibri" w:cs="Calibri" w:eastAsia="Calibri" w:hAnsi="Calibri"/>
          <w:b w:val="false"/>
          <w:bCs w:val="false"/>
          <w:i w:val="false"/>
          <w:iCs w:val="false"/>
          <w:color w:val="24302F"/>
          <w:sz w:val="22"/>
          <w:szCs w:val="22"/>
        </w:rPr>
        <w:t xml:space="preserve">Eight-centre, double-blind, sham-controlled trial. 223 people with IBS analysed. An 18-food IgG assay guided the diet. 59.6% on the true diet hit the FDA-style pain target versus 42.1% on the sham diet. Benefit was largest in IBS-C (67% vs 36%) and IBS-M (66% vs 30%). This is not a blog post. It is the flagship U.S. GI journal.</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Aydinlar et al., Headache 2013. </w:t>
      </w:r>
      <w:r>
        <w:rPr>
          <w:rFonts w:ascii="Calibri" w:cs="Calibri" w:eastAsia="Calibri" w:hAnsi="Calibri"/>
          <w:b w:val="false"/>
          <w:bCs w:val="false"/>
          <w:i w:val="false"/>
          <w:iCs w:val="false"/>
          <w:color w:val="24302F"/>
          <w:sz w:val="22"/>
          <w:szCs w:val="22"/>
        </w:rPr>
        <w:t xml:space="preserve">Crossover trial in people who had both migraine and IBS. IgG-guided elimination cut attack count, duration, and severity, and eased bowel symptoms compared with a provocation diet.</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2025 sham-controlled migraine trial. </w:t>
      </w:r>
      <w:r>
        <w:rPr>
          <w:rFonts w:ascii="Calibri" w:cs="Calibri" w:eastAsia="Calibri" w:hAnsi="Calibri"/>
          <w:b w:val="false"/>
          <w:bCs w:val="false"/>
          <w:i w:val="false"/>
          <w:iCs w:val="false"/>
          <w:color w:val="24302F"/>
          <w:sz w:val="22"/>
          <w:szCs w:val="22"/>
        </w:rPr>
        <w:t xml:space="preserve">True IgG diet reduced migraine burden and also lowered blood IL-6, TNF-α, and CGRP — the inflammatory and nerve-sensitizing signals that keep headaches alive.</w:t>
      </w:r>
    </w:p>
    <w:p>
      <w:pPr>
        <w:spacing w:after="160" w:before="0" w:line="276"/>
      </w:pPr>
      <w:r>
        <w:rPr>
          <w:rFonts w:ascii="Calibri" w:cs="Calibri" w:eastAsia="Calibri" w:hAnsi="Calibri"/>
          <w:b w:val="false"/>
          <w:bCs w:val="false"/>
          <w:i w:val="false"/>
          <w:iCs w:val="false"/>
          <w:color w:val="24302F"/>
          <w:sz w:val="22"/>
          <w:szCs w:val="22"/>
        </w:rPr>
        <w:t xml:space="preserve">Those trials do not prove that every red box on a 96-food printout is a toxin. They do prove that, in the right patient, an IgG-guided elimination is not the same as a random diet.</w:t>
      </w:r>
    </w:p>
    <w:p>
      <w:pPr>
        <w:pStyle w:val="Heading2"/>
        <w:spacing w:after="120" w:before="280"/>
      </w:pPr>
      <w:r>
        <w:rPr>
          <w:rFonts w:ascii="Calibri" w:cs="Calibri" w:eastAsia="Calibri" w:hAnsi="Calibri"/>
          <w:b/>
          <w:bCs/>
          <w:color w:val="1A6B6B"/>
          <w:sz w:val="26"/>
          <w:szCs w:val="26"/>
        </w:rPr>
        <w:t xml:space="preserve">Eczema and the skin–gut loop</w:t>
      </w:r>
    </w:p>
    <w:p>
      <w:pPr>
        <w:spacing w:after="160" w:before="0" w:line="276"/>
      </w:pPr>
      <w:r>
        <w:rPr>
          <w:rFonts w:ascii="Calibri" w:cs="Calibri" w:eastAsia="Calibri" w:hAnsi="Calibri"/>
          <w:b w:val="false"/>
          <w:bCs w:val="false"/>
          <w:i w:val="false"/>
          <w:iCs w:val="false"/>
          <w:color w:val="24302F"/>
          <w:sz w:val="22"/>
          <w:szCs w:val="22"/>
        </w:rPr>
        <w:t xml:space="preserve">The skin and the gut talk to each other. Infants with early, severe eczema are several times more likely to develop true IgE food allergy. A 2023 meta-analysis of more than a million people found food sensitivity or allergy in roughly one-third to one-half of people with atopic dermatitis, and the risk rose with eczema severity. Food antigen leaking through broken skin can train the immune system the wrong way — the “atopic march” toward rhinitis and asthma.</w:t>
      </w:r>
    </w:p>
    <w:p>
      <w:pPr>
        <w:spacing w:after="160" w:before="0" w:line="276"/>
      </w:pPr>
      <w:r>
        <w:rPr>
          <w:rFonts w:ascii="Calibri" w:cs="Calibri" w:eastAsia="Calibri" w:hAnsi="Calibri"/>
          <w:b w:val="false"/>
          <w:bCs w:val="false"/>
          <w:i w:val="false"/>
          <w:iCs w:val="false"/>
          <w:color w:val="24302F"/>
          <w:sz w:val="22"/>
          <w:szCs w:val="22"/>
        </w:rPr>
        <w:t xml:space="preserve">That is the IgE story, and it is solid. The IgG story on skin is quieter. Children with eczema often show food-specific IgG and IgA to milk, egg, wheat, and soy at high rates. Some small series report that families feel better after guided avoidance. One paediatric dermatology study found little correlation between raw IgG/IgA numbers and eczema scores, which is a useful brake: do not treat a lab sheet instead of the child. The practical approach in clinic is: fix the barrier (skin care, gut, sleep), screen for true IgE allergy when the history is high-risk, and use food IgG as a short, supervised elimination map when eczema flares track meals and the IgE workup is unrevealing.</w:t>
      </w:r>
    </w:p>
    <w:p>
      <w:pPr>
        <w:pStyle w:val="Heading2"/>
        <w:spacing w:after="120" w:before="280"/>
      </w:pPr>
      <w:r>
        <w:rPr>
          <w:rFonts w:ascii="Calibri" w:cs="Calibri" w:eastAsia="Calibri" w:hAnsi="Calibri"/>
          <w:b/>
          <w:bCs/>
          <w:color w:val="1A6B6B"/>
          <w:sz w:val="26"/>
          <w:szCs w:val="26"/>
        </w:rPr>
        <w:t xml:space="preserve">Chronic allergies and breathing</w:t>
      </w:r>
    </w:p>
    <w:p>
      <w:pPr>
        <w:spacing w:after="160" w:before="0" w:line="276"/>
      </w:pPr>
      <w:r>
        <w:rPr>
          <w:rFonts w:ascii="Calibri" w:cs="Calibri" w:eastAsia="Calibri" w:hAnsi="Calibri"/>
          <w:b w:val="false"/>
          <w:bCs w:val="false"/>
          <w:i w:val="false"/>
          <w:iCs w:val="false"/>
          <w:color w:val="24302F"/>
          <w:sz w:val="22"/>
          <w:szCs w:val="22"/>
        </w:rPr>
        <w:t xml:space="preserve">Runny nose, post-nasal drip, adult-onset congestion, and “I get sick every time I eat dairy” are among the most common reasons people ask for food testing. Classic allergic rhinitis and asthma are still IgE- and inhalant-driven more often than food-IgG-driven. Food is not the first lever for most pollen-triggered hay fever.</w:t>
      </w:r>
    </w:p>
    <w:p>
      <w:pPr>
        <w:spacing w:after="160" w:before="0" w:line="276"/>
      </w:pPr>
      <w:r>
        <w:rPr>
          <w:rFonts w:ascii="Calibri" w:cs="Calibri" w:eastAsia="Calibri" w:hAnsi="Calibri"/>
          <w:b w:val="false"/>
          <w:bCs w:val="false"/>
          <w:i w:val="false"/>
          <w:iCs w:val="false"/>
          <w:color w:val="24302F"/>
          <w:sz w:val="22"/>
          <w:szCs w:val="22"/>
        </w:rPr>
        <w:t xml:space="preserve">Where food IgG earns a look is the mixed picture: chronic sinus pressure plus bloating plus eczema plus fatigue; mucus that worsens after cheese or beer and yeast; adult patients who already failed antihistamines and a spray. Mucosal IgA against foods can flag a local gut or airway immune conversation that serum IgE never sees. Removing a high-IgG dairy or yeast load will not replace an inhaler. It can take one inflammatory input off a crowded system.</w:t>
      </w:r>
    </w:p>
    <w:p>
      <w:pPr>
        <w:pStyle w:val="Heading2"/>
        <w:spacing w:after="120" w:before="280"/>
      </w:pPr>
      <w:r>
        <w:rPr>
          <w:rFonts w:ascii="Calibri" w:cs="Calibri" w:eastAsia="Calibri" w:hAnsi="Calibri"/>
          <w:b/>
          <w:bCs/>
          <w:color w:val="1A6B6B"/>
          <w:sz w:val="26"/>
          <w:szCs w:val="26"/>
        </w:rPr>
        <w:t xml:space="preserve">Digestion — the strongest use-case</w:t>
      </w:r>
    </w:p>
    <w:p>
      <w:pPr>
        <w:spacing w:after="160" w:before="0" w:line="276"/>
      </w:pPr>
      <w:r>
        <w:rPr>
          <w:rFonts w:ascii="Calibri" w:cs="Calibri" w:eastAsia="Calibri" w:hAnsi="Calibri"/>
          <w:b w:val="false"/>
          <w:bCs w:val="false"/>
          <w:i w:val="false"/>
          <w:iCs w:val="false"/>
          <w:color w:val="24302F"/>
          <w:sz w:val="22"/>
          <w:szCs w:val="22"/>
        </w:rPr>
        <w:t xml:space="preserve">If you remember one clinical sentence from this article, remember this: the best evidence for food-IgG testing is in irritable bowel syndrome and in the IBS-plus-migraine overlap.</w:t>
      </w:r>
    </w:p>
    <w:p>
      <w:pPr>
        <w:spacing w:after="160" w:before="0" w:line="276"/>
      </w:pPr>
      <w:r>
        <w:rPr>
          <w:rFonts w:ascii="Calibri" w:cs="Calibri" w:eastAsia="Calibri" w:hAnsi="Calibri"/>
          <w:b w:val="false"/>
          <w:bCs w:val="false"/>
          <w:i w:val="false"/>
          <w:iCs w:val="false"/>
          <w:color w:val="24302F"/>
          <w:sz w:val="22"/>
          <w:szCs w:val="22"/>
        </w:rPr>
        <w:t xml:space="preserve">IBS is not “all in the head.” It is a disorder of motility, sensation, microbiome, and often barrier function. Patients already try low-FODMAP, gluten-light, and dairy-light diets. Many improve. An IgG panel is not required to start those empiric trials. It becomes valuable when the empiric diet is a maze, when symptoms rebound, or when you need a shorter, personalised list instead of removing every fermentable carbohydrate at once.</w:t>
      </w:r>
    </w:p>
    <w:p>
      <w:pPr>
        <w:spacing w:after="160" w:before="0" w:line="276"/>
      </w:pPr>
      <w:r>
        <w:rPr>
          <w:rFonts w:ascii="Calibri" w:cs="Calibri" w:eastAsia="Calibri" w:hAnsi="Calibri"/>
          <w:b w:val="false"/>
          <w:bCs w:val="false"/>
          <w:i w:val="false"/>
          <w:iCs w:val="false"/>
          <w:color w:val="24302F"/>
          <w:sz w:val="22"/>
          <w:szCs w:val="22"/>
        </w:rPr>
        <w:t xml:space="preserve">Yeast and wheat show up often on these panels. That is clinically familiar in a practice that also uses food-sensitivity testing to guide a gut-reset diet. A moderate yeast IgG is not a diagnosis of “candida overgrowth.” It is a reason to lower simple sugars and aged/fermented yeast-heavy foods while the lining is being repaired — then retest or reintroduce.</w:t>
      </w:r>
    </w:p>
    <w:p>
      <w:pPr>
        <w:pStyle w:val="Heading2"/>
        <w:spacing w:after="120" w:before="280"/>
      </w:pPr>
      <w:r>
        <w:rPr>
          <w:rFonts w:ascii="Calibri" w:cs="Calibri" w:eastAsia="Calibri" w:hAnsi="Calibri"/>
          <w:b/>
          <w:bCs/>
          <w:color w:val="1A6B6B"/>
          <w:sz w:val="26"/>
          <w:szCs w:val="26"/>
        </w:rPr>
        <w:t xml:space="preserve">Immune dysfunction is not a vague slogan</w:t>
      </w:r>
    </w:p>
    <w:p>
      <w:pPr>
        <w:spacing w:after="160" w:before="0" w:line="276"/>
      </w:pPr>
      <w:r>
        <w:rPr>
          <w:rFonts w:ascii="Calibri" w:cs="Calibri" w:eastAsia="Calibri" w:hAnsi="Calibri"/>
          <w:b w:val="false"/>
          <w:bCs w:val="false"/>
          <w:i w:val="false"/>
          <w:iCs w:val="false"/>
          <w:color w:val="24302F"/>
          <w:sz w:val="22"/>
          <w:szCs w:val="22"/>
        </w:rPr>
        <w:t xml:space="preserve">When food protein and bacterial fragments keep crossing the lining, the immune system stays on a low boil. Complement-fixing IgG subclasses (mainly IgG1 and IgG3) can form immune complexes. Those complexes are one proposed engine of delayed symptoms — the old “type III” pattern. Whether every commercial panel captures that biology cleanly is debated. What is less debated is the cluster: barrier injury + food-antibody load + extra-intestinal complaints.</w:t>
      </w:r>
    </w:p>
    <w:p>
      <w:pPr>
        <w:spacing w:after="160" w:before="0" w:line="276"/>
      </w:pPr>
      <w:r>
        <w:rPr>
          <w:rFonts w:ascii="Calibri" w:cs="Calibri" w:eastAsia="Calibri" w:hAnsi="Calibri"/>
          <w:b w:val="false"/>
          <w:bCs w:val="false"/>
          <w:i w:val="false"/>
          <w:iCs w:val="false"/>
          <w:color w:val="24302F"/>
          <w:sz w:val="22"/>
          <w:szCs w:val="22"/>
        </w:rPr>
        <w:t xml:space="preserve">That cluster shows up around IBD, some autoimmune conditions, and post-infectious states. It is not proof that food IgG caused the autoimmune disease. It is a reason not to ignore diet while you treat the disease.</w:t>
      </w:r>
    </w:p>
    <w:p>
      <w:pPr>
        <w:pStyle w:val="Heading2"/>
        <w:spacing w:after="120" w:before="280"/>
      </w:pPr>
      <w:r>
        <w:rPr>
          <w:rFonts w:ascii="Calibri" w:cs="Calibri" w:eastAsia="Calibri" w:hAnsi="Calibri"/>
          <w:b/>
          <w:bCs/>
          <w:color w:val="1A6B6B"/>
          <w:sz w:val="26"/>
          <w:szCs w:val="26"/>
        </w:rPr>
        <w:t xml:space="preserve">How to use a result without wrecking your diet</w:t>
      </w:r>
    </w:p>
    <w:p>
      <w:pPr>
        <w:pStyle w:val="ListParagraph"/>
        <w:numPr>
          <w:ilvl w:val="0"/>
          <w:numId w:val="2"/>
        </w:numPr>
        <w:spacing w:after="80" w:line="276"/>
      </w:pPr>
      <w:r>
        <w:rPr>
          <w:rFonts w:ascii="Calibri" w:cs="Calibri" w:eastAsia="Calibri" w:hAnsi="Calibri"/>
          <w:color w:val="24302F"/>
          <w:sz w:val="22"/>
          <w:szCs w:val="22"/>
        </w:rPr>
        <w:t xml:space="preserve">Treat red and high-moderate foods as a 4–8 week experiment, not a life sentence.</w:t>
      </w:r>
    </w:p>
    <w:p>
      <w:pPr>
        <w:pStyle w:val="ListParagraph"/>
        <w:numPr>
          <w:ilvl w:val="0"/>
          <w:numId w:val="2"/>
        </w:numPr>
        <w:spacing w:after="80" w:line="276"/>
      </w:pPr>
      <w:r>
        <w:rPr>
          <w:rFonts w:ascii="Calibri" w:cs="Calibri" w:eastAsia="Calibri" w:hAnsi="Calibri"/>
          <w:color w:val="24302F"/>
          <w:sz w:val="22"/>
          <w:szCs w:val="22"/>
        </w:rPr>
        <w:t xml:space="preserve">Keep eating a wide range of foods that did not react. Diversity feeds the microbiome you are trying to heal.</w:t>
      </w:r>
    </w:p>
    <w:p>
      <w:pPr>
        <w:pStyle w:val="ListParagraph"/>
        <w:numPr>
          <w:ilvl w:val="0"/>
          <w:numId w:val="2"/>
        </w:numPr>
        <w:spacing w:after="80" w:line="276"/>
      </w:pPr>
      <w:r>
        <w:rPr>
          <w:rFonts w:ascii="Calibri" w:cs="Calibri" w:eastAsia="Calibri" w:hAnsi="Calibri"/>
          <w:color w:val="24302F"/>
          <w:sz w:val="22"/>
          <w:szCs w:val="22"/>
        </w:rPr>
        <w:t xml:space="preserve">Reintroduce one food every three days and write down skin, stool, sinuses, energy, and sleep.</w:t>
      </w:r>
    </w:p>
    <w:p>
      <w:pPr>
        <w:pStyle w:val="ListParagraph"/>
        <w:numPr>
          <w:ilvl w:val="0"/>
          <w:numId w:val="2"/>
        </w:numPr>
        <w:spacing w:after="80" w:line="276"/>
      </w:pPr>
      <w:r>
        <w:rPr>
          <w:rFonts w:ascii="Calibri" w:cs="Calibri" w:eastAsia="Calibri" w:hAnsi="Calibri"/>
          <w:color w:val="24302F"/>
          <w:sz w:val="22"/>
          <w:szCs w:val="22"/>
        </w:rPr>
        <w:t xml:space="preserve">If a food comes back clean, it goes back on the plate. The goal is oral tolerance, not purity.</w:t>
      </w:r>
    </w:p>
    <w:p>
      <w:pPr>
        <w:pStyle w:val="ListParagraph"/>
        <w:numPr>
          <w:ilvl w:val="0"/>
          <w:numId w:val="2"/>
        </w:numPr>
        <w:spacing w:after="80" w:line="276"/>
      </w:pPr>
      <w:r>
        <w:rPr>
          <w:rFonts w:ascii="Calibri" w:cs="Calibri" w:eastAsia="Calibri" w:hAnsi="Calibri"/>
          <w:color w:val="24302F"/>
          <w:sz w:val="22"/>
          <w:szCs w:val="22"/>
        </w:rPr>
        <w:t xml:space="preserve">If you have ever had hives, swelling, or breathing trouble after a food, see an allergist for IgE testing first. Do not use an IgG kit as your anaphylaxis screen.</w:t>
      </w:r>
    </w:p>
    <w:p>
      <w:pPr>
        <w:spacing w:after="160" w:before="0" w:line="276"/>
      </w:pPr>
      <w:r>
        <w:rPr>
          <w:rFonts w:ascii="Calibri" w:cs="Calibri" w:eastAsia="Calibri" w:hAnsi="Calibri"/>
          <w:b w:val="false"/>
          <w:bCs w:val="false"/>
          <w:i w:val="false"/>
          <w:iCs w:val="false"/>
          <w:color w:val="24302F"/>
          <w:sz w:val="22"/>
          <w:szCs w:val="22"/>
        </w:rPr>
        <w:t xml:space="preserve">A useful panel reports IgG and IgA separately, names the foods clearly, and is read by someone who will also look at your history, not only the colour chart. Many reputable labs, including the one we use in clinic, do not sell IgG4 as a sensitivity score — because IgG4 is the tolerance subclass the allergy societies warned about.</w:t>
      </w:r>
    </w:p>
    <w:p>
      <w:pPr>
        <w:pStyle w:val="Heading1"/>
        <w:pBdr>
          <w:bottom w:val="single" w:color="1A6B6B" w:sz="12" w:space="4"/>
        </w:pBdr>
        <w:spacing w:after="160" w:before="360"/>
      </w:pPr>
      <w:r>
        <w:rPr>
          <w:rFonts w:ascii="Calibri" w:cs="Calibri" w:eastAsia="Calibri" w:hAnsi="Calibri"/>
          <w:b/>
          <w:bCs/>
          <w:color w:val="0F4242"/>
          <w:sz w:val="32"/>
          <w:szCs w:val="32"/>
        </w:rPr>
        <w:t xml:space="preserve">Part II — For clinicians</w:t>
      </w:r>
    </w:p>
    <w:p>
      <w:pPr>
        <w:pStyle w:val="Heading2"/>
        <w:spacing w:after="120" w:before="280"/>
      </w:pPr>
      <w:r>
        <w:rPr>
          <w:rFonts w:ascii="Calibri" w:cs="Calibri" w:eastAsia="Calibri" w:hAnsi="Calibri"/>
          <w:b/>
          <w:bCs/>
          <w:color w:val="1A6B6B"/>
          <w:sz w:val="26"/>
          <w:szCs w:val="26"/>
        </w:rPr>
        <w:t xml:space="preserve">What the guidelines actually forbid — and what they do not settle</w:t>
      </w:r>
    </w:p>
    <w:p>
      <w:pPr>
        <w:spacing w:after="160" w:before="0" w:line="276"/>
      </w:pPr>
      <w:r>
        <w:rPr>
          <w:rFonts w:ascii="Calibri" w:cs="Calibri" w:eastAsia="Calibri" w:hAnsi="Calibri"/>
          <w:b w:val="false"/>
          <w:bCs w:val="false"/>
          <w:i w:val="false"/>
          <w:iCs w:val="false"/>
          <w:color w:val="24302F"/>
          <w:sz w:val="22"/>
          <w:szCs w:val="22"/>
        </w:rPr>
        <w:t xml:space="preserve">EAACI (2008), AAAAI, CSACI, NIAID expert panel language, and Choosing Wisely all reject food-specific IgG or IgG4 as a diagnostic test for IgE-mediated food allergy or for “food intolerance” defined as enzyme or pharmacologic intolerance. That position is correct for those indications. IgG4 in particular tracks exposure and regulatory-T-cell activity. Using an IgG4-only consumer kit to build a 40-food avoidance list is poor medicine.</w:t>
      </w:r>
    </w:p>
    <w:p>
      <w:pPr>
        <w:spacing w:after="160" w:before="0" w:line="276"/>
      </w:pPr>
      <w:r>
        <w:rPr>
          <w:rFonts w:ascii="Calibri" w:cs="Calibri" w:eastAsia="Calibri" w:hAnsi="Calibri"/>
          <w:b w:val="false"/>
          <w:bCs w:val="false"/>
          <w:i w:val="false"/>
          <w:iCs w:val="false"/>
          <w:color w:val="24302F"/>
          <w:sz w:val="22"/>
          <w:szCs w:val="22"/>
        </w:rPr>
        <w:t xml:space="preserve">Those statements do not review, and therefore do not refute, sham-controlled outcomes trials of total-IgG ELISA-guided elimination in IBS. Atkinson 2004 and Singh 2025 asked whether a personalised avoidance list derived from IgG titres outperforms a calorie- and restriction-matched sham list. They found that it does, with a larger effect in compliant patients and in IBS-C/M. Guideline silence on that endpoint is not the same as a negative trial.</w:t>
      </w:r>
    </w:p>
    <w:p>
      <w:pPr>
        <w:spacing w:after="160" w:before="0" w:line="276"/>
      </w:pPr>
      <w:r>
        <w:rPr>
          <w:rFonts w:ascii="Calibri" w:cs="Calibri" w:eastAsia="Calibri" w:hAnsi="Calibri"/>
          <w:b w:val="false"/>
          <w:bCs w:val="false"/>
          <w:i w:val="false"/>
          <w:iCs w:val="false"/>
          <w:color w:val="24302F"/>
          <w:sz w:val="22"/>
          <w:szCs w:val="22"/>
        </w:rPr>
        <w:t xml:space="preserve">The intellectually honest clinic sentence: we do not diagnose allergy with food IgG. We use it, in selected patients, as a stratification tool for a time-limited elimination-rechallenge, while we treat the barrier.</w:t>
      </w:r>
    </w:p>
    <w:p>
      <w:pPr>
        <w:pStyle w:val="Heading2"/>
        <w:spacing w:after="120" w:before="280"/>
      </w:pPr>
      <w:r>
        <w:rPr>
          <w:rFonts w:ascii="Calibri" w:cs="Calibri" w:eastAsia="Calibri" w:hAnsi="Calibri"/>
          <w:b/>
          <w:bCs/>
          <w:color w:val="1A6B6B"/>
          <w:sz w:val="26"/>
          <w:szCs w:val="26"/>
        </w:rPr>
        <w:t xml:space="preserve">Assay details that change interpretation</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tblHeader/>
        </w:trPr>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Assay</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What it measures</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Best use</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Do not use for</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Serum specific IgE / SPT</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Type I immediate allergy</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Anaphylaxis risk, classic atopy</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Delayed bloating or eczema-only workups without history</w:t>
            </w:r>
          </w:p>
        </w:tc>
      </w:tr>
      <w:tr>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Total food IgG ELISA</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IgG1–3 dominant memory to food proteins</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Guided elimination in IBS, migraine+IBS, selected barrier phenotypes</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Labelling a patient “allergic”</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Food IgG4 only</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Tolerance / exposure subclass</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Research; monitoring immunotherapy</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Building avoidance lists</w:t>
            </w:r>
          </w:p>
        </w:tc>
      </w:tr>
      <w:tr>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Food IgA (serum)</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Mucosal / recent exposure signal</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Pair with IgG when lining injury is suspected</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Standalone diagnosis</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Zonulin, LPS Ab, occludin Ab</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Barrier context</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Explaining a long food-IgG list</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A yes/no leaky-gut stamp</w:t>
            </w:r>
          </w:p>
        </w:tc>
      </w:tr>
    </w:tbl>
    <w:p>
      <w:pPr>
        <w:spacing w:after="160" w:before="160" w:line="276"/>
      </w:pPr>
      <w:r>
        <w:rPr>
          <w:rFonts w:ascii="Calibri" w:cs="Calibri" w:eastAsia="Calibri" w:hAnsi="Calibri"/>
          <w:b w:val="false"/>
          <w:bCs w:val="false"/>
          <w:i w:val="false"/>
          <w:iCs w:val="false"/>
          <w:color w:val="24302F"/>
          <w:sz w:val="22"/>
          <w:szCs w:val="22"/>
        </w:rPr>
        <w:t xml:space="preserve">Vibrant-style panels report IgG and IgA independently and do not sell IgG subclass scores as the sensitivity call. That design is closer to the Atkinson/Singh use-case than an IgG4 consumer kit is. Cut-points are laboratory-specific. A “moderate” on one platform is not a “moderate” on another. Always read the reporting lab’s reference interval.</w:t>
      </w:r>
    </w:p>
    <w:p>
      <w:pPr>
        <w:pStyle w:val="Heading2"/>
        <w:spacing w:after="120" w:before="280"/>
      </w:pPr>
      <w:r>
        <w:rPr>
          <w:rFonts w:ascii="Calibri" w:cs="Calibri" w:eastAsia="Calibri" w:hAnsi="Calibri"/>
          <w:b/>
          <w:bCs/>
          <w:color w:val="1A6B6B"/>
          <w:sz w:val="26"/>
          <w:szCs w:val="26"/>
        </w:rPr>
        <w:t xml:space="preserve">Mechanistic frame that does not over-reach</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Barrier first. </w:t>
      </w:r>
      <w:r>
        <w:rPr>
          <w:rFonts w:ascii="Calibri" w:cs="Calibri" w:eastAsia="Calibri" w:hAnsi="Calibri"/>
          <w:b w:val="false"/>
          <w:bCs w:val="false"/>
          <w:i w:val="false"/>
          <w:iCs w:val="false"/>
          <w:color w:val="24302F"/>
          <w:sz w:val="22"/>
          <w:szCs w:val="22"/>
        </w:rPr>
        <w:t xml:space="preserve">Food-IgG correlates with anti-LPS and anti-occludin IgG/IgA (Front. Nutr. 2022). Multiple high-titre foods are often a permeability sign, not 20 separate primary allergies.</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Subclass matters. </w:t>
      </w:r>
      <w:r>
        <w:rPr>
          <w:rFonts w:ascii="Calibri" w:cs="Calibri" w:eastAsia="Calibri" w:hAnsi="Calibri"/>
          <w:b w:val="false"/>
          <w:bCs w:val="false"/>
          <w:i w:val="false"/>
          <w:iCs w:val="false"/>
          <w:color w:val="24302F"/>
          <w:sz w:val="22"/>
          <w:szCs w:val="22"/>
        </w:rPr>
        <w:t xml:space="preserve">IgG1/IgG3 can fix complement. IgG4 does not. Lumping them under one marketing word — “sensitivity” — created the guideline backlash.</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Not all extra-intestinal symptoms are type I. </w:t>
      </w:r>
      <w:r>
        <w:rPr>
          <w:rFonts w:ascii="Calibri" w:cs="Calibri" w:eastAsia="Calibri" w:hAnsi="Calibri"/>
          <w:b w:val="false"/>
          <w:bCs w:val="false"/>
          <w:i w:val="false"/>
          <w:iCs w:val="false"/>
          <w:color w:val="24302F"/>
          <w:sz w:val="22"/>
          <w:szCs w:val="22"/>
        </w:rPr>
        <w:t xml:space="preserve">Delayed skin, mucosal, and gut symptoms can be mixed IgE, non-IgE (FPIES, EoE), T-cell, or immune-complex biology. History still outranks the panel.</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Diet is an intervention with a number needed to treat. </w:t>
      </w:r>
      <w:r>
        <w:rPr>
          <w:rFonts w:ascii="Calibri" w:cs="Calibri" w:eastAsia="Calibri" w:hAnsi="Calibri"/>
          <w:b w:val="false"/>
          <w:bCs w:val="false"/>
          <w:i w:val="false"/>
          <w:iCs w:val="false"/>
          <w:color w:val="24302F"/>
          <w:sz w:val="22"/>
          <w:szCs w:val="22"/>
        </w:rPr>
        <w:t xml:space="preserve">Singh 2025: +17.5 percentage points over sham for the pain responder endpoint. That is modest and real. Counsel accordingly.</w:t>
      </w:r>
    </w:p>
    <w:p>
      <w:pPr>
        <w:pStyle w:val="Heading2"/>
        <w:spacing w:after="120" w:before="280"/>
      </w:pPr>
      <w:r>
        <w:rPr>
          <w:rFonts w:ascii="Calibri" w:cs="Calibri" w:eastAsia="Calibri" w:hAnsi="Calibri"/>
          <w:b/>
          <w:bCs/>
          <w:color w:val="1A6B6B"/>
          <w:sz w:val="26"/>
          <w:szCs w:val="26"/>
        </w:rPr>
        <w:t xml:space="preserve">Condition-specific evidence grade</w:t>
      </w:r>
    </w:p>
    <w:p>
      <w:pPr>
        <w:pStyle w:val="Heading3"/>
        <w:spacing w:after="80" w:before="200"/>
      </w:pPr>
      <w:r>
        <w:rPr>
          <w:rFonts w:ascii="Calibri" w:cs="Calibri" w:eastAsia="Calibri" w:hAnsi="Calibri"/>
          <w:b/>
          <w:bCs/>
          <w:color w:val="2E5554"/>
          <w:sz w:val="24"/>
          <w:szCs w:val="24"/>
        </w:rPr>
        <w:t xml:space="preserve">IBS / functional bowel — moderate-to-good</w:t>
      </w:r>
    </w:p>
    <w:p>
      <w:pPr>
        <w:spacing w:after="160" w:before="0" w:line="276"/>
      </w:pPr>
      <w:r>
        <w:rPr>
          <w:rFonts w:ascii="Calibri" w:cs="Calibri" w:eastAsia="Calibri" w:hAnsi="Calibri"/>
          <w:b w:val="false"/>
          <w:bCs w:val="false"/>
          <w:i w:val="false"/>
          <w:iCs w:val="false"/>
          <w:color w:val="24302F"/>
          <w:sz w:val="22"/>
          <w:szCs w:val="22"/>
        </w:rPr>
        <w:t xml:space="preserve">Highest-quality data. Sham-controlled, including a 2025 multicenter trial in Gastroenterology. Use when empiric low-FODMAP is incomplete, poorly tolerated, or you need a shorter personalised list. Pair with stool pattern, bile-acid diarrhea screen when indicated, and a plan to restore fibres after the elimination window.</w:t>
      </w:r>
    </w:p>
    <w:p>
      <w:pPr>
        <w:pStyle w:val="Heading3"/>
        <w:spacing w:after="80" w:before="200"/>
      </w:pPr>
      <w:r>
        <w:rPr>
          <w:rFonts w:ascii="Calibri" w:cs="Calibri" w:eastAsia="Calibri" w:hAnsi="Calibri"/>
          <w:b/>
          <w:bCs/>
          <w:color w:val="2E5554"/>
          <w:sz w:val="24"/>
          <w:szCs w:val="24"/>
        </w:rPr>
        <w:t xml:space="preserve">Migraine ± IBS — suggestive</w:t>
      </w:r>
    </w:p>
    <w:p>
      <w:pPr>
        <w:spacing w:after="160" w:before="0" w:line="276"/>
      </w:pPr>
      <w:r>
        <w:rPr>
          <w:rFonts w:ascii="Calibri" w:cs="Calibri" w:eastAsia="Calibri" w:hAnsi="Calibri"/>
          <w:b w:val="false"/>
          <w:bCs w:val="false"/>
          <w:i w:val="false"/>
          <w:iCs w:val="false"/>
          <w:color w:val="24302F"/>
          <w:sz w:val="22"/>
          <w:szCs w:val="22"/>
        </w:rPr>
        <w:t xml:space="preserve">Aydinlar crossover plus a 2025 sham-controlled trial with cytokine and CGRP reductions. Reasonable in patients who already have a gut-migraine phenotype. Not first-line monotherapy for migraine without a dietary clue.</w:t>
      </w:r>
    </w:p>
    <w:p>
      <w:pPr>
        <w:pStyle w:val="Heading3"/>
        <w:spacing w:after="80" w:before="200"/>
      </w:pPr>
      <w:r>
        <w:rPr>
          <w:rFonts w:ascii="Calibri" w:cs="Calibri" w:eastAsia="Calibri" w:hAnsi="Calibri"/>
          <w:b/>
          <w:bCs/>
          <w:color w:val="2E5554"/>
          <w:sz w:val="24"/>
          <w:szCs w:val="24"/>
        </w:rPr>
        <w:t xml:space="preserve">Eczema / atopic dermatitis — mixed</w:t>
      </w:r>
    </w:p>
    <w:p>
      <w:pPr>
        <w:spacing w:after="160" w:before="0" w:line="276"/>
      </w:pPr>
      <w:r>
        <w:rPr>
          <w:rFonts w:ascii="Calibri" w:cs="Calibri" w:eastAsia="Calibri" w:hAnsi="Calibri"/>
          <w:b w:val="false"/>
          <w:bCs w:val="false"/>
          <w:i w:val="false"/>
          <w:iCs w:val="false"/>
          <w:color w:val="24302F"/>
          <w:sz w:val="22"/>
          <w:szCs w:val="22"/>
        </w:rPr>
        <w:t xml:space="preserve">Strong IgE and atopic-march data. Food sensitivity prevalence is high in AD meta-analysis, but that literature mixes IgE sensitization with looser “sensitivity” definitions. IgG/IgA-guided avoidance has weak controlled evidence and at least one negative correlation study in children. Do not delay dermatologic care or indicated IgE testing. A short IgG-guided trial is adjunctive in adult flexural or gut-linked flares after the IgE question is answered.</w:t>
      </w:r>
    </w:p>
    <w:p>
      <w:pPr>
        <w:pStyle w:val="Heading3"/>
        <w:spacing w:after="80" w:before="200"/>
      </w:pPr>
      <w:r>
        <w:rPr>
          <w:rFonts w:ascii="Calibri" w:cs="Calibri" w:eastAsia="Calibri" w:hAnsi="Calibri"/>
          <w:b/>
          <w:bCs/>
          <w:color w:val="2E5554"/>
          <w:sz w:val="24"/>
          <w:szCs w:val="24"/>
        </w:rPr>
        <w:t xml:space="preserve">Chronic rhinitis / sinus / “allergic” airway — low-to-suggestive</w:t>
      </w:r>
    </w:p>
    <w:p>
      <w:pPr>
        <w:spacing w:after="160" w:before="0" w:line="276"/>
      </w:pPr>
      <w:r>
        <w:rPr>
          <w:rFonts w:ascii="Calibri" w:cs="Calibri" w:eastAsia="Calibri" w:hAnsi="Calibri"/>
          <w:b w:val="false"/>
          <w:bCs w:val="false"/>
          <w:i w:val="false"/>
          <w:iCs w:val="false"/>
          <w:color w:val="24302F"/>
          <w:sz w:val="22"/>
          <w:szCs w:val="22"/>
        </w:rPr>
        <w:t xml:space="preserve">Do the inhalant workup. Food IgG is a second-look tool for mixed mucosal disease, dairy-mucus histories, and yeast-heavy diets — not a replacement for rhinitis guidelines.</w:t>
      </w:r>
    </w:p>
    <w:p>
      <w:pPr>
        <w:pStyle w:val="Heading3"/>
        <w:spacing w:after="80" w:before="200"/>
      </w:pPr>
      <w:r>
        <w:rPr>
          <w:rFonts w:ascii="Calibri" w:cs="Calibri" w:eastAsia="Calibri" w:hAnsi="Calibri"/>
          <w:b/>
          <w:bCs/>
          <w:color w:val="2E5554"/>
          <w:sz w:val="24"/>
          <w:szCs w:val="24"/>
        </w:rPr>
        <w:t xml:space="preserve">Immune dysregulation / autoimmunity — mechanistic, not causal</w:t>
      </w:r>
    </w:p>
    <w:p>
      <w:pPr>
        <w:spacing w:after="160" w:before="0" w:line="276"/>
      </w:pPr>
      <w:r>
        <w:rPr>
          <w:rFonts w:ascii="Calibri" w:cs="Calibri" w:eastAsia="Calibri" w:hAnsi="Calibri"/>
          <w:b w:val="false"/>
          <w:bCs w:val="false"/>
          <w:i w:val="false"/>
          <w:iCs w:val="false"/>
          <w:color w:val="24302F"/>
          <w:sz w:val="22"/>
          <w:szCs w:val="22"/>
        </w:rPr>
        <w:t xml:space="preserve">Elevated food IgG appears in IBD, some autoimmune cohorts, and barrier-injury states. Treat it as a map of antigen load, not as the etiology of lupus or Hashimoto’s.</w:t>
      </w:r>
    </w:p>
    <w:p>
      <w:pPr>
        <w:pStyle w:val="Heading2"/>
        <w:spacing w:after="120" w:before="280"/>
      </w:pPr>
      <w:r>
        <w:rPr>
          <w:rFonts w:ascii="Calibri" w:cs="Calibri" w:eastAsia="Calibri" w:hAnsi="Calibri"/>
          <w:b/>
          <w:bCs/>
          <w:color w:val="1A6B6B"/>
          <w:sz w:val="26"/>
          <w:szCs w:val="26"/>
        </w:rPr>
        <w:t xml:space="preserve">A practical outpatient sequence</w:t>
      </w:r>
    </w:p>
    <w:p>
      <w:pPr>
        <w:pStyle w:val="ListParagraph"/>
        <w:numPr>
          <w:ilvl w:val="0"/>
          <w:numId w:val="2"/>
        </w:numPr>
        <w:spacing w:after="80" w:line="276"/>
      </w:pPr>
      <w:r>
        <w:rPr>
          <w:rFonts w:ascii="Calibri" w:cs="Calibri" w:eastAsia="Calibri" w:hAnsi="Calibri"/>
          <w:color w:val="24302F"/>
          <w:sz w:val="22"/>
          <w:szCs w:val="22"/>
        </w:rPr>
        <w:t xml:space="preserve">History first: timing, reproducibility, atopic march, anaphylaxis red flags, bloating vs mucus vs rash.</w:t>
      </w:r>
    </w:p>
    <w:p>
      <w:pPr>
        <w:pStyle w:val="ListParagraph"/>
        <w:numPr>
          <w:ilvl w:val="0"/>
          <w:numId w:val="2"/>
        </w:numPr>
        <w:spacing w:after="80" w:line="276"/>
      </w:pPr>
      <w:r>
        <w:rPr>
          <w:rFonts w:ascii="Calibri" w:cs="Calibri" w:eastAsia="Calibri" w:hAnsi="Calibri"/>
          <w:color w:val="24302F"/>
          <w:sz w:val="22"/>
          <w:szCs w:val="22"/>
        </w:rPr>
        <w:t xml:space="preserve">If IgE risk is present — refer or order specific IgE / SPT before any IgG panel.</w:t>
      </w:r>
    </w:p>
    <w:p>
      <w:pPr>
        <w:pStyle w:val="ListParagraph"/>
        <w:numPr>
          <w:ilvl w:val="0"/>
          <w:numId w:val="2"/>
        </w:numPr>
        <w:spacing w:after="80" w:line="276"/>
      </w:pPr>
      <w:r>
        <w:rPr>
          <w:rFonts w:ascii="Calibri" w:cs="Calibri" w:eastAsia="Calibri" w:hAnsi="Calibri"/>
          <w:color w:val="24302F"/>
          <w:sz w:val="22"/>
          <w:szCs w:val="22"/>
        </w:rPr>
        <w:t xml:space="preserve">If the picture is delayed and multi-system, order food IgG + IgA (not IgG4-as-sensitivity) and consider barrier context.</w:t>
      </w:r>
    </w:p>
    <w:p>
      <w:pPr>
        <w:pStyle w:val="ListParagraph"/>
        <w:numPr>
          <w:ilvl w:val="0"/>
          <w:numId w:val="2"/>
        </w:numPr>
        <w:spacing w:after="80" w:line="276"/>
      </w:pPr>
      <w:r>
        <w:rPr>
          <w:rFonts w:ascii="Calibri" w:cs="Calibri" w:eastAsia="Calibri" w:hAnsi="Calibri"/>
          <w:color w:val="24302F"/>
          <w:sz w:val="22"/>
          <w:szCs w:val="22"/>
        </w:rPr>
        <w:t xml:space="preserve">Eliminate high and selected moderate foods for 4–8 weeks while you repair sleep, iron, fibre diversity, and dysbiosis.</w:t>
      </w:r>
    </w:p>
    <w:p>
      <w:pPr>
        <w:pStyle w:val="ListParagraph"/>
        <w:numPr>
          <w:ilvl w:val="0"/>
          <w:numId w:val="2"/>
        </w:numPr>
        <w:spacing w:after="80" w:line="276"/>
      </w:pPr>
      <w:r>
        <w:rPr>
          <w:rFonts w:ascii="Calibri" w:cs="Calibri" w:eastAsia="Calibri" w:hAnsi="Calibri"/>
          <w:color w:val="24302F"/>
          <w:sz w:val="22"/>
          <w:szCs w:val="22"/>
        </w:rPr>
        <w:t xml:space="preserve">Rechallenge. Keep only the foods that reproduce symptoms. Write the end-diet in the chart so the patient does not fossilize the first printout.</w:t>
      </w:r>
    </w:p>
    <w:p>
      <w:pPr>
        <w:pStyle w:val="ListParagraph"/>
        <w:numPr>
          <w:ilvl w:val="0"/>
          <w:numId w:val="2"/>
        </w:numPr>
        <w:spacing w:after="80" w:line="276"/>
      </w:pPr>
      <w:r>
        <w:rPr>
          <w:rFonts w:ascii="Calibri" w:cs="Calibri" w:eastAsia="Calibri" w:hAnsi="Calibri"/>
          <w:color w:val="24302F"/>
          <w:sz w:val="22"/>
          <w:szCs w:val="22"/>
        </w:rPr>
        <w:t xml:space="preserve">Retest only if management would change. Falling titres after a gut-reset are encouraging; they are not a trophy.</w:t>
      </w:r>
    </w:p>
    <w:p>
      <w:pPr>
        <w:spacing w:after="160" w:before="0" w:line="276"/>
      </w:pPr>
      <w:r>
        <w:rPr>
          <w:rFonts w:ascii="Calibri" w:cs="Calibri" w:eastAsia="Calibri" w:hAnsi="Calibri"/>
          <w:b w:val="false"/>
          <w:bCs w:val="false"/>
          <w:i w:val="false"/>
          <w:iCs w:val="false"/>
          <w:color w:val="24302F"/>
          <w:sz w:val="22"/>
          <w:szCs w:val="22"/>
        </w:rPr>
        <w:t xml:space="preserve">This sequence is how food IgG testing earns its keep without becoming the thing allergy societies rightly attacked: an unsupervised, fear-based, non-reproducible shopping list.</w:t>
      </w:r>
    </w:p>
    <w:p>
      <w:pPr>
        <w:pStyle w:val="Heading2"/>
        <w:spacing w:after="120" w:before="280"/>
      </w:pPr>
      <w:r>
        <w:rPr>
          <w:rFonts w:ascii="Calibri" w:cs="Calibri" w:eastAsia="Calibri" w:hAnsi="Calibri"/>
          <w:b/>
          <w:bCs/>
          <w:color w:val="1A6B6B"/>
          <w:sz w:val="26"/>
          <w:szCs w:val="26"/>
        </w:rPr>
        <w:t xml:space="preserve">What remains uncertain</w:t>
      </w:r>
    </w:p>
    <w:p>
      <w:pPr>
        <w:spacing w:after="160" w:before="0" w:line="276"/>
      </w:pPr>
      <w:r>
        <w:rPr>
          <w:rFonts w:ascii="Calibri" w:cs="Calibri" w:eastAsia="Calibri" w:hAnsi="Calibri"/>
          <w:b w:val="false"/>
          <w:bCs w:val="false"/>
          <w:i w:val="false"/>
          <w:iCs w:val="false"/>
          <w:color w:val="24302F"/>
          <w:sz w:val="22"/>
          <w:szCs w:val="22"/>
        </w:rPr>
        <w:t xml:space="preserve">Assays are not interchangeable. Healthy frequent-eaters can have food IgG without symptoms. Publication bias still haunts smaller elimination studies. We do not have an eczema-sized Singh trial. We do not have long-term data showing that chronic IgG-guided restriction improves hard autoimmune outcomes. Those gaps belong in the consult, not only in the fine print.</w:t>
      </w:r>
    </w:p>
    <w:p>
      <w:pPr>
        <w:pStyle w:val="Heading1"/>
        <w:pBdr>
          <w:bottom w:val="single" w:color="1A6B6B" w:sz="12" w:space="4"/>
        </w:pBdr>
        <w:spacing w:after="160" w:before="360"/>
      </w:pPr>
      <w:r>
        <w:rPr>
          <w:rFonts w:ascii="Calibri" w:cs="Calibri" w:eastAsia="Calibri" w:hAnsi="Calibri"/>
          <w:b/>
          <w:bCs/>
          <w:color w:val="0F4242"/>
          <w:sz w:val="32"/>
          <w:szCs w:val="32"/>
        </w:rPr>
        <w:t xml:space="preserve">How we use this in clinic</w:t>
      </w:r>
    </w:p>
    <w:p>
      <w:pPr>
        <w:spacing w:after="160" w:before="0" w:line="276"/>
      </w:pPr>
      <w:r>
        <w:rPr>
          <w:rFonts w:ascii="Calibri" w:cs="Calibri" w:eastAsia="Calibri" w:hAnsi="Calibri"/>
          <w:b w:val="false"/>
          <w:bCs w:val="false"/>
          <w:i w:val="false"/>
          <w:iCs w:val="false"/>
          <w:color w:val="24302F"/>
          <w:sz w:val="22"/>
          <w:szCs w:val="22"/>
        </w:rPr>
        <w:t xml:space="preserve">At Tri-Health, food IgG/IgA testing sits next to live-blood review, stool and metabolic labs, and a structured gut-reset diet — not in place of them. A long list of reactions usually means the lining is noisy. We shorten the diet, calm the terrain, then give foods back. That is the opposite of turning a lab report into a permanent identity.</w:t>
      </w:r>
    </w:p>
    <w:p>
      <w:pPr>
        <w:spacing w:after="160" w:before="0" w:line="276"/>
      </w:pPr>
      <w:r>
        <w:rPr>
          <w:rFonts w:ascii="Calibri" w:cs="Calibri" w:eastAsia="Calibri" w:hAnsi="Calibri"/>
          <w:b w:val="false"/>
          <w:bCs w:val="false"/>
          <w:i w:val="false"/>
          <w:iCs w:val="false"/>
          <w:color w:val="24302F"/>
          <w:sz w:val="22"/>
          <w:szCs w:val="22"/>
        </w:rPr>
        <w:t xml:space="preserve">This article is educational. It is not a diagnosis and it is not permission to ignore anaphylaxis, celiac serology, IBD, or an allergist when those doors should be opened.</w:t>
      </w:r>
    </w:p>
    <w:p>
      <w:pPr>
        <w:pStyle w:val="Heading1"/>
        <w:pBdr>
          <w:bottom w:val="single" w:color="1A6B6B" w:sz="12" w:space="4"/>
        </w:pBdr>
        <w:spacing w:after="160" w:before="360"/>
      </w:pPr>
      <w:r>
        <w:rPr>
          <w:rFonts w:ascii="Calibri" w:cs="Calibri" w:eastAsia="Calibri" w:hAnsi="Calibri"/>
          <w:b/>
          <w:bCs/>
          <w:color w:val="0F4242"/>
          <w:sz w:val="32"/>
          <w:szCs w:val="32"/>
        </w:rPr>
        <w:t xml:space="preserve">Selected references</w:t>
      </w:r>
    </w:p>
    <w:p>
      <w:pPr>
        <w:spacing w:after="80" w:before="0" w:line="276"/>
      </w:pPr>
      <w:r>
        <w:rPr>
          <w:rFonts w:ascii="Calibri" w:cs="Calibri" w:eastAsia="Calibri" w:hAnsi="Calibri"/>
          <w:b w:val="false"/>
          <w:bCs w:val="false"/>
          <w:i w:val="false"/>
          <w:iCs w:val="false"/>
          <w:color w:val="24302F"/>
          <w:sz w:val="20"/>
          <w:szCs w:val="20"/>
        </w:rPr>
        <w:t xml:space="preserve">Atkinson W, Sheldon TA, Shaath N, Whorwell PJ. Food elimination based on IgG antibodies in irritable bowel syndrome: a randomised controlled trial. Gut. 2004;53(10):1459-1464.</w:t>
      </w:r>
    </w:p>
    <w:p>
      <w:pPr>
        <w:spacing w:after="80" w:before="0" w:line="276"/>
      </w:pPr>
      <w:r>
        <w:rPr>
          <w:rFonts w:ascii="Calibri" w:cs="Calibri" w:eastAsia="Calibri" w:hAnsi="Calibri"/>
          <w:b w:val="false"/>
          <w:bCs w:val="false"/>
          <w:i w:val="false"/>
          <w:iCs w:val="false"/>
          <w:color w:val="24302F"/>
          <w:sz w:val="20"/>
          <w:szCs w:val="20"/>
        </w:rPr>
        <w:t xml:space="preserve">Singh P, et al. A novel, IBS-specific IgG ELISA-based elimination diet in irritable bowel syndrome: a randomized, sham-controlled trial. Gastroenterology. 2025;168(6):1128-1136.e4.</w:t>
      </w:r>
    </w:p>
    <w:p>
      <w:pPr>
        <w:spacing w:after="80" w:before="0" w:line="276"/>
      </w:pPr>
      <w:r>
        <w:rPr>
          <w:rFonts w:ascii="Calibri" w:cs="Calibri" w:eastAsia="Calibri" w:hAnsi="Calibri"/>
          <w:b w:val="false"/>
          <w:bCs w:val="false"/>
          <w:i w:val="false"/>
          <w:iCs w:val="false"/>
          <w:color w:val="24302F"/>
          <w:sz w:val="20"/>
          <w:szCs w:val="20"/>
        </w:rPr>
        <w:t xml:space="preserve">Aydinlar EI, et al. IgG-based elimination diet in migraine plus irritable bowel syndrome. Headache. 2013;53(3):514-525.</w:t>
      </w:r>
    </w:p>
    <w:p>
      <w:pPr>
        <w:spacing w:after="80" w:before="0" w:line="276"/>
      </w:pPr>
      <w:r>
        <w:rPr>
          <w:rFonts w:ascii="Calibri" w:cs="Calibri" w:eastAsia="Calibri" w:hAnsi="Calibri"/>
          <w:b w:val="false"/>
          <w:bCs w:val="false"/>
          <w:i w:val="false"/>
          <w:iCs w:val="false"/>
          <w:color w:val="24302F"/>
          <w:sz w:val="20"/>
          <w:szCs w:val="20"/>
        </w:rPr>
        <w:t xml:space="preserve">Food-specific IgG-based elimination diet decreased IL-6, TNF-α, and CGRP and improved symptoms in adults with migraine. Front Nutr. 2025;12:1720389.</w:t>
      </w:r>
    </w:p>
    <w:p>
      <w:pPr>
        <w:spacing w:after="80" w:before="0" w:line="276"/>
      </w:pPr>
      <w:r>
        <w:rPr>
          <w:rFonts w:ascii="Calibri" w:cs="Calibri" w:eastAsia="Calibri" w:hAnsi="Calibri"/>
          <w:b w:val="false"/>
          <w:bCs w:val="false"/>
          <w:i w:val="false"/>
          <w:iCs w:val="false"/>
          <w:color w:val="24302F"/>
          <w:sz w:val="20"/>
          <w:szCs w:val="20"/>
        </w:rPr>
        <w:t xml:space="preserve">Leech B, et al. Associations between food-specific IgG antibodies and intestinal permeability biomarkers. Front Nutr. 2022;9:962093.</w:t>
      </w:r>
    </w:p>
    <w:p>
      <w:pPr>
        <w:spacing w:after="80" w:before="0" w:line="276"/>
      </w:pPr>
      <w:r>
        <w:rPr>
          <w:rFonts w:ascii="Calibri" w:cs="Calibri" w:eastAsia="Calibri" w:hAnsi="Calibri"/>
          <w:b w:val="false"/>
          <w:bCs w:val="false"/>
          <w:i w:val="false"/>
          <w:iCs w:val="false"/>
          <w:color w:val="24302F"/>
          <w:sz w:val="20"/>
          <w:szCs w:val="20"/>
        </w:rPr>
        <w:t xml:space="preserve">Stapel SO, et al. Testing for IgG4 against foods is not recommended as a diagnostic tool: EAACI Task Force Report. Allergy. 2008;63(7):793-796.</w:t>
      </w:r>
    </w:p>
    <w:p>
      <w:pPr>
        <w:spacing w:after="80" w:before="0" w:line="276"/>
      </w:pPr>
      <w:r>
        <w:rPr>
          <w:rFonts w:ascii="Calibri" w:cs="Calibri" w:eastAsia="Calibri" w:hAnsi="Calibri"/>
          <w:b w:val="false"/>
          <w:bCs w:val="false"/>
          <w:i w:val="false"/>
          <w:iCs w:val="false"/>
          <w:color w:val="24302F"/>
          <w:sz w:val="20"/>
          <w:szCs w:val="20"/>
        </w:rPr>
        <w:t xml:space="preserve">AAAAI. The myth of IgG food panel testing. Public education statement. Supported by CSACI / Choosing Wisely language against unproven IgG allergy tests.</w:t>
      </w:r>
    </w:p>
    <w:p>
      <w:pPr>
        <w:spacing w:after="80" w:before="0" w:line="276"/>
      </w:pPr>
      <w:r>
        <w:rPr>
          <w:rFonts w:ascii="Calibri" w:cs="Calibri" w:eastAsia="Calibri" w:hAnsi="Calibri"/>
          <w:b w:val="false"/>
          <w:bCs w:val="false"/>
          <w:i w:val="false"/>
          <w:iCs w:val="false"/>
          <w:color w:val="24302F"/>
          <w:sz w:val="20"/>
          <w:szCs w:val="20"/>
        </w:rPr>
        <w:t xml:space="preserve">Christensen MO, et al. Prevalence of and association between atopic dermatitis and food sensitivity, food allergy and challenge-proven food allergy: a systematic review and meta-analysis. J Eur Acad Dermatol Venereol. 2023;37:984-1003.</w:t>
      </w:r>
    </w:p>
    <w:p>
      <w:pPr>
        <w:spacing w:after="80" w:before="0" w:line="276"/>
      </w:pPr>
      <w:r>
        <w:rPr>
          <w:rFonts w:ascii="Calibri" w:cs="Calibri" w:eastAsia="Calibri" w:hAnsi="Calibri"/>
          <w:b w:val="false"/>
          <w:bCs w:val="false"/>
          <w:i w:val="false"/>
          <w:iCs w:val="false"/>
          <w:color w:val="24302F"/>
          <w:sz w:val="20"/>
          <w:szCs w:val="20"/>
        </w:rPr>
        <w:t xml:space="preserve">Davis CM, et al. Atopic dermatitis and food allergy: more than sensitization. 2024 review. Skin barrier as a route to IgE food allergy and the atopic march.</w:t>
      </w:r>
    </w:p>
    <w:p>
      <w:pPr>
        <w:spacing w:after="80" w:before="0" w:line="276"/>
      </w:pPr>
      <w:r>
        <w:rPr>
          <w:rFonts w:ascii="Calibri" w:cs="Calibri" w:eastAsia="Calibri" w:hAnsi="Calibri"/>
          <w:b w:val="false"/>
          <w:bCs w:val="false"/>
          <w:i w:val="false"/>
          <w:iCs w:val="false"/>
          <w:color w:val="24302F"/>
          <w:sz w:val="20"/>
          <w:szCs w:val="20"/>
        </w:rPr>
        <w:t xml:space="preserve">Mullin GE, et al. Testing for food reactions: the good, the bad, and the ugly. Nutr Clin Pract. 2010.</w:t>
      </w:r>
    </w:p>
    <w:p>
      <w:pPr>
        <w:spacing w:after="80" w:before="0" w:line="276"/>
      </w:pPr>
      <w:r>
        <w:rPr>
          <w:rFonts w:ascii="Calibri" w:cs="Calibri" w:eastAsia="Calibri" w:hAnsi="Calibri"/>
          <w:b w:val="false"/>
          <w:bCs w:val="false"/>
          <w:i w:val="false"/>
          <w:iCs w:val="false"/>
          <w:color w:val="24302F"/>
          <w:sz w:val="20"/>
          <w:szCs w:val="20"/>
        </w:rPr>
        <w:t xml:space="preserve">Santos AF, et al. EAACI guidelines on the diagnosis of IgE-mediated food allergy. Allergy. 2023.</w:t>
      </w:r>
    </w:p>
    <w:p>
      <w:pPr>
        <w:spacing w:after="80" w:before="0" w:line="276"/>
      </w:pPr>
      <w:r>
        <w:rPr>
          <w:rFonts w:ascii="Calibri" w:cs="Calibri" w:eastAsia="Calibri" w:hAnsi="Calibri"/>
          <w:b w:val="false"/>
          <w:bCs w:val="false"/>
          <w:i w:val="false"/>
          <w:iCs w:val="false"/>
          <w:color w:val="24302F"/>
          <w:sz w:val="20"/>
          <w:szCs w:val="20"/>
        </w:rPr>
        <w:t xml:space="preserve">Camilleri M. Human intestinal barrier — measurement and effects of diet. Aliment Pharmacol Ther. 2025 review.</w:t>
      </w:r>
    </w:p>
    <w:p>
      <w:pPr>
        <w:spacing w:after="80" w:before="0" w:line="276"/>
      </w:pPr>
      <w:r>
        <w:rPr>
          <w:rFonts w:ascii="Calibri" w:cs="Calibri" w:eastAsia="Calibri" w:hAnsi="Calibri"/>
          <w:b w:val="false"/>
          <w:bCs w:val="false"/>
          <w:i w:val="false"/>
          <w:iCs w:val="false"/>
          <w:color w:val="24302F"/>
          <w:sz w:val="20"/>
          <w:szCs w:val="20"/>
        </w:rPr>
        <w:t xml:space="preserve">Food-Specific IgG Antibodies: Decoding Their Dual Role in Immune Tolerance and Food Intolerance. Immuno. 2025;5(3):25.</w:t>
      </w:r>
    </w:p>
    <w:p>
      <w:pPr>
        <w:spacing w:after="80" w:before="0" w:line="276"/>
      </w:pPr>
      <w:r>
        <w:rPr>
          <w:rFonts w:ascii="Calibri" w:cs="Calibri" w:eastAsia="Calibri" w:hAnsi="Calibri"/>
          <w:b w:val="false"/>
          <w:bCs w:val="false"/>
          <w:i w:val="false"/>
          <w:iCs w:val="false"/>
          <w:color w:val="24302F"/>
          <w:sz w:val="20"/>
          <w:szCs w:val="20"/>
        </w:rPr>
        <w:t xml:space="preserve">Hon KL, et al. Specific IgG and IgA of common foods in Chinese children with eczema. J Dermatolog Treat. 2014;25(6).</w:t>
      </w:r>
    </w:p>
    <w:p>
      <w:pPr>
        <w:spacing w:after="80" w:before="0" w:line="276"/>
      </w:pPr>
      <w:r>
        <w:rPr>
          <w:rFonts w:ascii="Calibri" w:cs="Calibri" w:eastAsia="Calibri" w:hAnsi="Calibri"/>
          <w:b w:val="false"/>
          <w:bCs w:val="false"/>
          <w:i w:val="false"/>
          <w:iCs w:val="false"/>
          <w:color w:val="24302F"/>
          <w:sz w:val="20"/>
          <w:szCs w:val="20"/>
        </w:rPr>
        <w:t xml:space="preserve">Almatroudi A, et al. Role of IgG food test in patients with allergic diseases. AIMS Allergy Immunol. 2023.</w:t>
      </w:r>
    </w:p>
    <w:p>
      <w:pPr>
        <w:pBdr>
          <w:top w:val="single" w:color="B08D3A" w:sz="12" w:space="8"/>
        </w:pBdr>
        <w:spacing w:after="80" w:before="360"/>
      </w:pPr>
      <w:r>
        <w:rPr>
          <w:rFonts w:ascii="Calibri" w:cs="Calibri" w:eastAsia="Calibri" w:hAnsi="Calibri"/>
          <w:b/>
          <w:bCs/>
          <w:color w:val="1A6B6B"/>
          <w:sz w:val="18"/>
          <w:szCs w:val="18"/>
        </w:rPr>
        <w:t xml:space="preserve">Dr. Jason Granzotto ND  ·  Tri-Health Wellness Centre  ·  Vaughan / Woodbridge  ·  trihealth.ca</w:t>
      </w:r>
    </w:p>
    <w:p>
      <w:pPr>
        <w:spacing w:after="160" w:before="0" w:line="276"/>
      </w:pPr>
      <w:r>
        <w:rPr>
          <w:rFonts w:ascii="Calibri" w:cs="Calibri" w:eastAsia="Calibri" w:hAnsi="Calibri"/>
          <w:b w:val="false"/>
          <w:bCs w:val="false"/>
          <w:i/>
          <w:iCs/>
          <w:color w:val="5A6A69"/>
          <w:sz w:val="18"/>
          <w:szCs w:val="18"/>
        </w:rPr>
        <w:t xml:space="preserve">Educational briefing. Laboratory methods vary. Not medical advice. True IgE allergy requires appropriate allergy testing and is not diagnosed by a food IgG panel.</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6D5" w:sz="6" w:space="8"/>
      </w:pBdr>
      <w:tabs>
        <w:tab w:val="right" w:pos="10080"/>
      </w:tabs>
    </w:pPr>
    <w:r>
      <w:rPr>
        <w:rFonts w:ascii="Calibri" w:cs="Calibri" w:eastAsia="Calibri" w:hAnsi="Calibri"/>
        <w:color w:val="5A6A69"/>
        <w:sz w:val="14"/>
        <w:szCs w:val="14"/>
      </w:rPr>
      <w:t xml:space="preserve">Dr. Jason Granzotto ND  ·  Educational review  ·  September 2026</w:t>
    </w:r>
    <w:r>
      <w:rPr>
        <w:rFonts w:ascii="Calibri" w:cs="Calibri" w:eastAsia="Calibri" w:hAnsi="Calibri"/>
        <w:color w:val="5A6A69"/>
        <w:sz w:val="14"/>
        <w:szCs w:val="14"/>
      </w:rPr>
      <w:t xml:space="preserve">	Page </w:t>
    </w:r>
    <w:r>
      <w:rPr>
        <w:rFonts w:ascii="Calibri" w:cs="Calibri" w:eastAsia="Calibri" w:hAnsi="Calibri"/>
        <w:color w:val="5A6A6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6B6B" w:sz="8" w:space="6"/>
      </w:pBdr>
      <w:tabs>
        <w:tab w:val="right" w:pos="10080"/>
      </w:tabs>
    </w:pPr>
    <w:r>
      <w:rPr>
        <w:rFonts w:ascii="Calibri" w:cs="Calibri" w:eastAsia="Calibri" w:hAnsi="Calibri"/>
        <w:color w:val="1A6B6B"/>
        <w:sz w:val="16"/>
        <w:szCs w:val="16"/>
      </w:rPr>
      <w:t xml:space="preserve">Food IgG Testing and Chronic Illness</w:t>
    </w:r>
    <w:r>
      <w:rPr>
        <w:rFonts w:ascii="Calibri" w:cs="Calibri" w:eastAsia="Calibri" w:hAnsi="Calibri"/>
        <w:color w:val="5A6A69"/>
        <w:sz w:val="16"/>
        <w:szCs w:val="16"/>
      </w:rPr>
      <w:t xml:space="preserve">	Dr. Jason Granzotto ND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Calibri" w:cs="Calibri" w:eastAsia="Calibri" w:hAnsi="Calibri"/>
      <w:b/>
      <w:bCs/>
      <w:color w:val="0F4242"/>
      <w:sz w:val="32"/>
      <w:szCs w:val="32"/>
    </w:rPr>
  </w:style>
  <w:style w:type="paragraph" w:styleId="Heading2">
    <w:name w:val="Heading 2"/>
    <w:basedOn w:val="Normal"/>
    <w:next w:val="Normal"/>
    <w:qFormat/>
    <w:pPr>
      <w:spacing w:after="120" w:before="280"/>
      <w:outlineLvl w:val="1"/>
    </w:pPr>
    <w:rPr>
      <w:rFonts w:ascii="Calibri" w:cs="Calibri" w:eastAsia="Calibri" w:hAnsi="Calibri"/>
      <w:b/>
      <w:bCs/>
      <w:color w:val="1A6B6B"/>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2E555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a5b45e3b688bc7ce401e5dc44f38cb498b183c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2026-09-29T19:09:44.520Z</dcterms:created>
  <dcterms:modified xsi:type="dcterms:W3CDTF">2026-09-29T19:09:44.530Z</dcterms:modified>
</cp:coreProperties>
</file>

<file path=docProps/custom.xml><?xml version="1.0" encoding="utf-8"?>
<Properties xmlns="http://schemas.openxmlformats.org/officeDocument/2006/custom-properties" xmlns:vt="http://schemas.openxmlformats.org/officeDocument/2006/docPropsVTypes"/>
</file>